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25" w:rsidRDefault="003C4BB4" w:rsidP="003C4BB4">
      <w:pPr>
        <w:jc w:val="center"/>
      </w:pPr>
      <w:r>
        <w:t xml:space="preserve">Ilya &amp; Emilia </w:t>
      </w:r>
      <w:proofErr w:type="spellStart"/>
      <w:r>
        <w:t>Kabakov</w:t>
      </w:r>
      <w:proofErr w:type="spellEnd"/>
      <w:r>
        <w:t xml:space="preserve"> captions</w:t>
      </w:r>
    </w:p>
    <w:p w:rsidR="003C4BB4" w:rsidRDefault="003C4BB4" w:rsidP="003C4BB4">
      <w:pPr>
        <w:jc w:val="center"/>
      </w:pPr>
    </w:p>
    <w:p w:rsidR="00B07ED3" w:rsidRDefault="00B07ED3" w:rsidP="00B07ED3">
      <w:pPr>
        <w:pStyle w:val="ListParagraph"/>
        <w:numPr>
          <w:ilvl w:val="0"/>
          <w:numId w:val="1"/>
        </w:numPr>
      </w:pPr>
      <w:r>
        <w:t xml:space="preserve"> (802) Two Times </w:t>
      </w:r>
      <w:proofErr w:type="spellStart"/>
      <w:r>
        <w:t>Nr</w:t>
      </w:r>
      <w:proofErr w:type="spellEnd"/>
      <w:r>
        <w:t xml:space="preserve">. 3, 2015. Oil on canvas, 284.5 x 190.5 cm. </w:t>
      </w:r>
    </w:p>
    <w:p w:rsidR="00F25735" w:rsidRDefault="00F25735" w:rsidP="00F25735">
      <w:pPr>
        <w:pStyle w:val="ListParagraph"/>
      </w:pPr>
    </w:p>
    <w:p w:rsidR="00F25735" w:rsidRDefault="00B07ED3" w:rsidP="00F25735">
      <w:pPr>
        <w:pStyle w:val="ListParagraph"/>
        <w:numPr>
          <w:ilvl w:val="0"/>
          <w:numId w:val="1"/>
        </w:numPr>
      </w:pPr>
      <w:r>
        <w:t xml:space="preserve">(805) Two Times </w:t>
      </w:r>
      <w:proofErr w:type="spellStart"/>
      <w:r>
        <w:t>Nr</w:t>
      </w:r>
      <w:proofErr w:type="spellEnd"/>
      <w:r>
        <w:t xml:space="preserve">. 6, 2015. Oil on canvas, 190.5 x 284.5 cm.  </w:t>
      </w:r>
    </w:p>
    <w:p w:rsidR="00F25735" w:rsidRDefault="00F25735" w:rsidP="00F25735">
      <w:pPr>
        <w:pStyle w:val="ListParagraph"/>
      </w:pPr>
    </w:p>
    <w:p w:rsidR="00B07ED3" w:rsidRDefault="00B07ED3" w:rsidP="00B07ED3">
      <w:pPr>
        <w:pStyle w:val="ListParagraph"/>
        <w:numPr>
          <w:ilvl w:val="0"/>
          <w:numId w:val="1"/>
        </w:numPr>
      </w:pPr>
      <w:r>
        <w:t xml:space="preserve">(806) Two Times </w:t>
      </w:r>
      <w:proofErr w:type="spellStart"/>
      <w:r>
        <w:t>Nr</w:t>
      </w:r>
      <w:proofErr w:type="spellEnd"/>
      <w:r>
        <w:t xml:space="preserve">. 7, 2015. Oil on canvas, 190.5 x 284.5 cm.  </w:t>
      </w:r>
    </w:p>
    <w:p w:rsidR="00F25735" w:rsidRDefault="00F25735" w:rsidP="00F25735">
      <w:pPr>
        <w:pStyle w:val="ListParagraph"/>
      </w:pPr>
    </w:p>
    <w:p w:rsidR="00B07ED3" w:rsidRDefault="00B07ED3" w:rsidP="00B07ED3">
      <w:pPr>
        <w:pStyle w:val="ListParagraph"/>
        <w:numPr>
          <w:ilvl w:val="0"/>
          <w:numId w:val="1"/>
        </w:numPr>
      </w:pPr>
      <w:r>
        <w:t xml:space="preserve">(808) Two Times </w:t>
      </w:r>
      <w:proofErr w:type="spellStart"/>
      <w:r>
        <w:t>Nr</w:t>
      </w:r>
      <w:proofErr w:type="spellEnd"/>
      <w:r>
        <w:t>. 9, 2015. Oil on canvas, 75</w:t>
      </w:r>
      <w:r w:rsidR="00F25735">
        <w:t xml:space="preserve"> x 112 in. (190.5 x 284.5 cm.)</w:t>
      </w:r>
    </w:p>
    <w:p w:rsidR="00F25735" w:rsidRDefault="00F25735" w:rsidP="00F25735">
      <w:pPr>
        <w:pStyle w:val="ListParagraph"/>
      </w:pPr>
    </w:p>
    <w:p w:rsidR="005626B1" w:rsidRDefault="005626B1" w:rsidP="005626B1">
      <w:pPr>
        <w:pStyle w:val="ListParagraph"/>
        <w:numPr>
          <w:ilvl w:val="0"/>
          <w:numId w:val="1"/>
        </w:numPr>
      </w:pPr>
      <w:r>
        <w:t xml:space="preserve">(809) Two Times </w:t>
      </w:r>
      <w:proofErr w:type="spellStart"/>
      <w:r>
        <w:t>Nr</w:t>
      </w:r>
      <w:proofErr w:type="spellEnd"/>
      <w:r>
        <w:t xml:space="preserve">. 10, 2015.  Oil on canvas, 190.5 x 284.5 cm. </w:t>
      </w:r>
    </w:p>
    <w:p w:rsidR="00F25735" w:rsidRDefault="00F25735" w:rsidP="00F25735">
      <w:pPr>
        <w:pStyle w:val="ListParagraph"/>
      </w:pPr>
    </w:p>
    <w:p w:rsidR="003C4BB4" w:rsidRDefault="0076164E" w:rsidP="003C4BB4">
      <w:pPr>
        <w:pStyle w:val="ListParagraph"/>
        <w:numPr>
          <w:ilvl w:val="0"/>
          <w:numId w:val="1"/>
        </w:numPr>
      </w:pPr>
      <w:r>
        <w:t xml:space="preserve">(814) </w:t>
      </w:r>
      <w:proofErr w:type="gramStart"/>
      <w:r>
        <w:t>The</w:t>
      </w:r>
      <w:proofErr w:type="gramEnd"/>
      <w:r>
        <w:t xml:space="preserve"> Six Paintings about the Temporary Loss of Eyesight (They Are Painting the Boat), 2015.  Oil on canvas, 44 x 77 in. (111.8 x 195.6 cm.)</w:t>
      </w:r>
      <w:r w:rsidR="000964B2">
        <w:t xml:space="preserve"> </w:t>
      </w:r>
    </w:p>
    <w:p w:rsidR="00F25735" w:rsidRDefault="00F25735" w:rsidP="00F25735">
      <w:pPr>
        <w:pStyle w:val="ListParagraph"/>
      </w:pPr>
    </w:p>
    <w:p w:rsidR="0076164E" w:rsidRDefault="00C249E0" w:rsidP="003C4BB4">
      <w:pPr>
        <w:pStyle w:val="ListParagraph"/>
        <w:numPr>
          <w:ilvl w:val="0"/>
          <w:numId w:val="1"/>
        </w:numPr>
      </w:pPr>
      <w:r>
        <w:t>(815)</w:t>
      </w:r>
      <w:r w:rsidR="00144AE7" w:rsidRPr="00144AE7">
        <w:t xml:space="preserve"> </w:t>
      </w:r>
      <w:proofErr w:type="gramStart"/>
      <w:r w:rsidR="00144AE7">
        <w:t>The</w:t>
      </w:r>
      <w:proofErr w:type="gramEnd"/>
      <w:r w:rsidR="00144AE7">
        <w:t xml:space="preserve"> Six Paintings about the Temporary Loss of Eyesight (</w:t>
      </w:r>
      <w:r w:rsidR="001F06DF">
        <w:t>In the Room</w:t>
      </w:r>
      <w:r w:rsidR="00144AE7">
        <w:t>)</w:t>
      </w:r>
      <w:r w:rsidR="001F06DF">
        <w:t>, 2015. Oil on canvas, 44 x 77 in. (111.8 x 195.6 cm.)</w:t>
      </w:r>
    </w:p>
    <w:p w:rsidR="00F25735" w:rsidRDefault="00F25735" w:rsidP="00F25735">
      <w:pPr>
        <w:pStyle w:val="ListParagraph"/>
      </w:pPr>
    </w:p>
    <w:p w:rsidR="00C249E0" w:rsidRDefault="00C249E0" w:rsidP="003C4BB4">
      <w:pPr>
        <w:pStyle w:val="ListParagraph"/>
        <w:numPr>
          <w:ilvl w:val="0"/>
          <w:numId w:val="1"/>
        </w:numPr>
      </w:pPr>
      <w:r>
        <w:t>(816)</w:t>
      </w:r>
      <w:r w:rsidR="00144AE7">
        <w:t xml:space="preserve"> </w:t>
      </w:r>
      <w:proofErr w:type="gramStart"/>
      <w:r w:rsidR="00144AE7">
        <w:t>The</w:t>
      </w:r>
      <w:proofErr w:type="gramEnd"/>
      <w:r w:rsidR="00144AE7">
        <w:t xml:space="preserve"> Six Paintings about the Temporary Loss of Eyesight (</w:t>
      </w:r>
      <w:r w:rsidR="001F06DF">
        <w:t>The Scene at the Square), 2015.  Oil on canvas, 44 x 77 in. (111.8 x 195.6 cm.)</w:t>
      </w:r>
    </w:p>
    <w:p w:rsidR="00F25735" w:rsidRDefault="00F25735" w:rsidP="00F25735">
      <w:pPr>
        <w:pStyle w:val="ListParagraph"/>
      </w:pPr>
    </w:p>
    <w:p w:rsidR="00C249E0" w:rsidRDefault="00C249E0" w:rsidP="003C4BB4">
      <w:pPr>
        <w:pStyle w:val="ListParagraph"/>
        <w:numPr>
          <w:ilvl w:val="0"/>
          <w:numId w:val="1"/>
        </w:numPr>
      </w:pPr>
      <w:r>
        <w:t>(811)</w:t>
      </w:r>
      <w:r w:rsidR="00144AE7">
        <w:t xml:space="preserve"> </w:t>
      </w:r>
      <w:proofErr w:type="gramStart"/>
      <w:r w:rsidR="00144AE7">
        <w:t>The</w:t>
      </w:r>
      <w:proofErr w:type="gramEnd"/>
      <w:r w:rsidR="00144AE7">
        <w:t xml:space="preserve"> Six Paintings about the Temporary Loss of Eyesight (</w:t>
      </w:r>
      <w:r w:rsidR="001F06DF">
        <w:t>At the Outskirts of the Forest</w:t>
      </w:r>
      <w:r w:rsidR="00144AE7">
        <w:t>)</w:t>
      </w:r>
      <w:r w:rsidR="001F06DF">
        <w:t>, 2015.  Oil on canvas, 44 x 77 in. (111.8 x 195.6 cm.)</w:t>
      </w:r>
    </w:p>
    <w:p w:rsidR="00F25735" w:rsidRDefault="00F25735" w:rsidP="00F25735">
      <w:pPr>
        <w:pStyle w:val="ListParagraph"/>
      </w:pPr>
    </w:p>
    <w:p w:rsidR="00761FBE" w:rsidRDefault="00761FBE" w:rsidP="00761FBE">
      <w:pPr>
        <w:pStyle w:val="ListParagraph"/>
        <w:numPr>
          <w:ilvl w:val="0"/>
          <w:numId w:val="1"/>
        </w:numPr>
      </w:pPr>
      <w:r>
        <w:t xml:space="preserve">The Ship of Tolerance, </w:t>
      </w:r>
      <w:proofErr w:type="spellStart"/>
      <w:r w:rsidR="001F06DF">
        <w:t>Shariah</w:t>
      </w:r>
      <w:proofErr w:type="spellEnd"/>
      <w:r w:rsidR="001F06DF">
        <w:t xml:space="preserve">, </w:t>
      </w:r>
      <w:r w:rsidR="00EB3AFC">
        <w:t xml:space="preserve">2011. </w:t>
      </w:r>
      <w:r w:rsidR="001F06DF">
        <w:t xml:space="preserve">Photograph by Emilia </w:t>
      </w:r>
      <w:proofErr w:type="spellStart"/>
      <w:r w:rsidR="001F06DF">
        <w:t>Kabakov</w:t>
      </w:r>
      <w:proofErr w:type="spellEnd"/>
      <w:r w:rsidR="001F06DF">
        <w:t xml:space="preserve">. </w:t>
      </w:r>
    </w:p>
    <w:p w:rsidR="00F25735" w:rsidRDefault="00F25735" w:rsidP="00F25735">
      <w:pPr>
        <w:pStyle w:val="ListParagraph"/>
      </w:pPr>
    </w:p>
    <w:p w:rsidR="00EB3AFC" w:rsidRDefault="00EB3AFC" w:rsidP="00761FBE">
      <w:pPr>
        <w:pStyle w:val="ListParagraph"/>
        <w:numPr>
          <w:ilvl w:val="0"/>
          <w:numId w:val="1"/>
        </w:numPr>
      </w:pPr>
      <w:r>
        <w:t>Chi</w:t>
      </w:r>
      <w:r w:rsidR="00292449">
        <w:t>ldren</w:t>
      </w:r>
      <w:r w:rsidR="001F06DF">
        <w:t xml:space="preserve"> Making Drawings for </w:t>
      </w:r>
      <w:proofErr w:type="gramStart"/>
      <w:r w:rsidR="001F06DF">
        <w:t>The</w:t>
      </w:r>
      <w:proofErr w:type="gramEnd"/>
      <w:r w:rsidR="001F06DF">
        <w:t xml:space="preserve"> Ship of Tolerance</w:t>
      </w:r>
      <w:r w:rsidR="00292449">
        <w:t xml:space="preserve">, </w:t>
      </w:r>
      <w:proofErr w:type="spellStart"/>
      <w:r w:rsidR="00292449">
        <w:t>Shariah</w:t>
      </w:r>
      <w:proofErr w:type="spellEnd"/>
      <w:r w:rsidR="00292449">
        <w:t xml:space="preserve">, </w:t>
      </w:r>
      <w:r>
        <w:t xml:space="preserve">2011.  </w:t>
      </w:r>
      <w:r w:rsidR="001F06DF">
        <w:t xml:space="preserve">Courtesy of </w:t>
      </w:r>
      <w:proofErr w:type="spellStart"/>
      <w:r w:rsidR="001F06DF">
        <w:t>Shariah</w:t>
      </w:r>
      <w:proofErr w:type="spellEnd"/>
      <w:r w:rsidR="001F06DF">
        <w:t xml:space="preserve"> Art Foundation. </w:t>
      </w:r>
    </w:p>
    <w:p w:rsidR="00F25735" w:rsidRDefault="00F25735" w:rsidP="00F25735">
      <w:pPr>
        <w:pStyle w:val="ListParagraph"/>
      </w:pPr>
    </w:p>
    <w:p w:rsidR="00F25735" w:rsidRDefault="00761FBE" w:rsidP="00F25735">
      <w:pPr>
        <w:pStyle w:val="ListParagraph"/>
        <w:numPr>
          <w:ilvl w:val="0"/>
          <w:numId w:val="1"/>
        </w:numPr>
      </w:pPr>
      <w:r>
        <w:t xml:space="preserve">Ilya &amp; Emilia </w:t>
      </w:r>
      <w:proofErr w:type="spellStart"/>
      <w:r>
        <w:t>Kabakov</w:t>
      </w:r>
      <w:proofErr w:type="spellEnd"/>
      <w:r>
        <w:t xml:space="preserve"> in their</w:t>
      </w:r>
      <w:r w:rsidR="001F06DF">
        <w:t xml:space="preserve"> Long Island</w:t>
      </w:r>
      <w:r>
        <w:t xml:space="preserve"> studio, </w:t>
      </w:r>
      <w:r w:rsidR="001F06DF">
        <w:t>2013.</w:t>
      </w:r>
      <w:r>
        <w:t xml:space="preserve">  Photograph by Yuri </w:t>
      </w:r>
      <w:proofErr w:type="spellStart"/>
      <w:r>
        <w:t>Rost</w:t>
      </w:r>
      <w:proofErr w:type="spellEnd"/>
      <w:r>
        <w:t>.</w:t>
      </w:r>
    </w:p>
    <w:p w:rsidR="00F25735" w:rsidRPr="00F25735" w:rsidRDefault="00F25735" w:rsidP="00F25735">
      <w:pPr>
        <w:pStyle w:val="ListParagraph"/>
      </w:pPr>
    </w:p>
    <w:p w:rsidR="00F25735" w:rsidRPr="00F25735" w:rsidRDefault="00F25735" w:rsidP="00F2573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5735">
        <w:rPr>
          <w:rFonts w:ascii="Arial" w:eastAsia="Times New Roman" w:hAnsi="Arial" w:cs="Arial"/>
          <w:color w:val="000000"/>
          <w:sz w:val="20"/>
          <w:szCs w:val="20"/>
        </w:rPr>
        <w:t>Print With Dots #1, 2012. Woodcut, 47 ¾” x 68 ¼” (</w:t>
      </w:r>
      <w:r>
        <w:rPr>
          <w:rFonts w:ascii="Arial" w:eastAsia="Times New Roman" w:hAnsi="Arial" w:cs="Arial"/>
          <w:color w:val="000000"/>
          <w:sz w:val="20"/>
          <w:szCs w:val="20"/>
        </w:rPr>
        <w:t>121.5 x 173 cm.).  Edition of 12.</w:t>
      </w:r>
    </w:p>
    <w:p w:rsidR="00F25735" w:rsidRPr="00F25735" w:rsidRDefault="00F25735" w:rsidP="00F2573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57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5735" w:rsidRPr="00F25735" w:rsidRDefault="00F25735" w:rsidP="00F2573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5735">
        <w:rPr>
          <w:rFonts w:ascii="Arial" w:eastAsia="Times New Roman" w:hAnsi="Arial" w:cs="Arial"/>
          <w:color w:val="000000"/>
          <w:sz w:val="20"/>
          <w:szCs w:val="20"/>
        </w:rPr>
        <w:t>Print With Dots #2</w:t>
      </w:r>
      <w:r>
        <w:rPr>
          <w:rFonts w:ascii="Arial" w:eastAsia="Times New Roman" w:hAnsi="Arial" w:cs="Arial"/>
          <w:color w:val="000000"/>
          <w:sz w:val="20"/>
          <w:szCs w:val="20"/>
        </w:rPr>
        <w:t>, 2012.  Woodcut, 47 ¾” x 68 ¼” (</w:t>
      </w:r>
      <w:r w:rsidRPr="00F25735">
        <w:rPr>
          <w:rFonts w:ascii="Arial" w:eastAsia="Times New Roman" w:hAnsi="Arial" w:cs="Arial"/>
          <w:color w:val="000000"/>
          <w:sz w:val="20"/>
          <w:szCs w:val="20"/>
        </w:rPr>
        <w:t>121.5 x 173 cm.)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Edition of 12. </w:t>
      </w:r>
    </w:p>
    <w:p w:rsidR="00F25735" w:rsidRPr="00F25735" w:rsidRDefault="00F25735" w:rsidP="00F2573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57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5735" w:rsidRPr="00F25735" w:rsidRDefault="00F25735" w:rsidP="00F2573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5735">
        <w:rPr>
          <w:rFonts w:ascii="Arial" w:eastAsia="Times New Roman" w:hAnsi="Arial" w:cs="Arial"/>
          <w:color w:val="000000"/>
          <w:sz w:val="20"/>
          <w:szCs w:val="20"/>
        </w:rPr>
        <w:t>Print With Dots #3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2012.  Woodcut, 47 ¾” x 68 ¼” </w:t>
      </w:r>
      <w:r w:rsidRPr="00F25735">
        <w:rPr>
          <w:rFonts w:ascii="Arial" w:eastAsia="Times New Roman" w:hAnsi="Arial" w:cs="Arial"/>
          <w:color w:val="000000"/>
          <w:sz w:val="20"/>
          <w:szCs w:val="20"/>
        </w:rPr>
        <w:t>(121.5 x 173 cm.)</w:t>
      </w:r>
      <w:r>
        <w:rPr>
          <w:rFonts w:ascii="Arial" w:eastAsia="Times New Roman" w:hAnsi="Arial" w:cs="Arial"/>
          <w:color w:val="000000"/>
          <w:sz w:val="20"/>
          <w:szCs w:val="20"/>
        </w:rPr>
        <w:t>. Edition of 12.</w:t>
      </w:r>
      <w:bookmarkStart w:id="0" w:name="_GoBack"/>
      <w:bookmarkEnd w:id="0"/>
    </w:p>
    <w:p w:rsidR="00761FBE" w:rsidRDefault="00761FBE" w:rsidP="00EB3AFC">
      <w:pPr>
        <w:ind w:left="360"/>
      </w:pPr>
    </w:p>
    <w:sectPr w:rsidR="0076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77FF"/>
    <w:multiLevelType w:val="hybridMultilevel"/>
    <w:tmpl w:val="B1E6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B4"/>
    <w:rsid w:val="000964B2"/>
    <w:rsid w:val="00144AE7"/>
    <w:rsid w:val="001F06DF"/>
    <w:rsid w:val="00292449"/>
    <w:rsid w:val="00392E46"/>
    <w:rsid w:val="003C4BB4"/>
    <w:rsid w:val="005626B1"/>
    <w:rsid w:val="0076164E"/>
    <w:rsid w:val="00761FBE"/>
    <w:rsid w:val="00B07ED3"/>
    <w:rsid w:val="00C249E0"/>
    <w:rsid w:val="00E06C99"/>
    <w:rsid w:val="00E144EA"/>
    <w:rsid w:val="00EB3AFC"/>
    <w:rsid w:val="00F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11</cp:revision>
  <dcterms:created xsi:type="dcterms:W3CDTF">2015-12-29T14:19:00Z</dcterms:created>
  <dcterms:modified xsi:type="dcterms:W3CDTF">2015-12-29T21:00:00Z</dcterms:modified>
</cp:coreProperties>
</file>